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10" w:tblpY="312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338"/>
        <w:gridCol w:w="5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22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vertAlign w:val="baseline"/>
                <w:lang w:val="en-US" w:eastAsia="zh-CN"/>
              </w:rPr>
              <w:t>一、院赛参与度（共50分）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是否举办院赛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是（  ）  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支撑材料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举办院赛有关新闻截图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或其他支撑材料</w:t>
            </w:r>
            <w:r>
              <w:rPr>
                <w:rFonts w:hint="eastAsia" w:ascii="仿宋_GB2312" w:hAnsi="仿宋_GB2312" w:eastAsia="仿宋_GB2312" w:cs="仿宋_GB2312"/>
              </w:rPr>
              <w:t>。此项得分为相对得分，最高分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2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学院学生总数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院级比赛参赛项目数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76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  <w14:ligatures w14:val="standardContextual"/>
              </w:rPr>
              <w:t>参赛项目总数与学生总数比例（%）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支撑材料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需提供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</w:rPr>
              <w:t>包含项目名称、项目负责人、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负责人学号、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</w:rPr>
              <w:t>项目成员、项目指导老师等信息的清单。此项得分为相对得分，最高分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</w:rPr>
              <w:t>分，最低分5分。</w:t>
            </w:r>
            <w:r>
              <w:rPr>
                <w:rFonts w:hint="eastAsia" w:ascii="仿宋_GB2312" w:hAnsi="仿宋_GB2312" w:eastAsia="仿宋_GB2312" w:cs="仿宋_GB2312"/>
              </w:rPr>
              <w:t>所有材料整合在一个PDF中，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并</w:t>
            </w:r>
            <w:r>
              <w:rPr>
                <w:rFonts w:hint="eastAsia" w:ascii="仿宋_GB2312" w:hAnsi="仿宋_GB2312" w:eastAsia="仿宋_GB2312" w:cs="仿宋_GB2312"/>
              </w:rPr>
              <w:t>加盖学院团委公章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522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vertAlign w:val="baseline"/>
                <w:lang w:val="en-US" w:eastAsia="zh-CN"/>
              </w:rPr>
              <w:t>二、院赛规范度（15分）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1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是否有规范评审记录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是（  ）  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支撑材料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需提交完整的评审过程有关证明材料，满足条件计5分，不满足计0分。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2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2"/>
                <w:lang w:val="en-US" w:eastAsia="zh-CN" w:bidi="ar"/>
              </w:rPr>
              <w:t>是否设置“学术诚信审查”环节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是（  ）  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支撑材料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需提交有关证明材料，满足条件计5分，不满足计0分。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  <w:t>3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  <w:t>推荐至校赛项目名单是否在全院范围进行公示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是（  ）  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支撑材料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需提交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  <w:t>公示截图，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满足条件计5分，不满足计0分。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522" w:type="dxa"/>
            <w:gridSpan w:val="3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vertAlign w:val="baseline"/>
                <w:lang w:val="en-US" w:eastAsia="zh-CN"/>
              </w:rPr>
              <w:t>三、氛围及宣传展示（20分）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  <w:t>1</w:t>
            </w: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  <w:t>赛事有关活动是否有院级以上层面新媒体或新闻报道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是（  ）  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</w:p>
        </w:tc>
        <w:tc>
          <w:tcPr>
            <w:tcW w:w="23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  <w:t>支撑材料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  <w:t>须提供相关活动的新闻报道截图，每篇计2分，最高计10分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  <w:t>2</w:t>
            </w:r>
          </w:p>
        </w:tc>
        <w:tc>
          <w:tcPr>
            <w:tcW w:w="23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  <w:t>是否举办赛事有关活动</w:t>
            </w: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是（  ）  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</w:p>
        </w:tc>
        <w:tc>
          <w:tcPr>
            <w:tcW w:w="233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</w:p>
        </w:tc>
        <w:tc>
          <w:tcPr>
            <w:tcW w:w="542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  <w:t>须提供相关活动的照片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  <w:t>，每篇计2分，最高计10分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8522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vertAlign w:val="baseline"/>
                <w:lang w:val="en-US" w:eastAsia="zh-CN"/>
              </w:rPr>
              <w:t>四、推荐作品在校赛获奖情况（15分）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522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vertAlign w:val="baseli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</w:rPr>
              <w:t>此项为相对得分，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无需提交支撑材料，按照团体总分排序打分，</w:t>
            </w:r>
            <w:r>
              <w:rPr>
                <w:rFonts w:hint="eastAsia" w:ascii="仿宋_GB2312" w:hAnsi="仿宋_GB2312" w:eastAsia="仿宋_GB2312" w:cs="仿宋_GB2312"/>
              </w:rPr>
              <w:t>最高分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最低5分。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黑体" w:eastAsia="黑体" w:cs="黑体"/>
          <w:bCs/>
          <w:sz w:val="32"/>
          <w:szCs w:val="32"/>
          <w:lang w:val="en-US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"/>
          <w14:ligatures w14:val="standardContextual"/>
        </w:rPr>
        <w:t>附件6：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"/>
          <w14:ligatures w14:val="standardContextual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"/>
          <w14:ligatures w14:val="standardContextual"/>
        </w:rPr>
        <w:t>中国海洋大学“挑战杯”大学生课外学术科技作品竞赛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/>
        <w:jc w:val="center"/>
        <w:textAlignment w:val="auto"/>
        <w:rPr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"/>
          <w14:ligatures w14:val="standardContextual"/>
        </w:rPr>
        <w:t>院级赛事组织评分表</w:t>
      </w:r>
    </w:p>
    <w:sectPr>
      <w:pgSz w:w="11906" w:h="16838"/>
      <w:pgMar w:top="1440" w:right="1406" w:bottom="144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3ODI2YWNjMTAwOGE3MTlhMTEwYTE1MGJlMDE3ZGMifQ=="/>
    <w:docVar w:name="KSO_WPS_MARK_KEY" w:val="1962ce77-6222-4843-965d-679e0a118494"/>
  </w:docVars>
  <w:rsids>
    <w:rsidRoot w:val="00B535D0"/>
    <w:rsid w:val="004902C6"/>
    <w:rsid w:val="008D74FF"/>
    <w:rsid w:val="00B535D0"/>
    <w:rsid w:val="01F07314"/>
    <w:rsid w:val="4AB032BF"/>
    <w:rsid w:val="4BF12EE8"/>
    <w:rsid w:val="683B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559</Words>
  <Characters>570</Characters>
  <Lines>2</Lines>
  <Paragraphs>1</Paragraphs>
  <TotalTime>11</TotalTime>
  <ScaleCrop>false</ScaleCrop>
  <LinksUpToDate>false</LinksUpToDate>
  <CharactersWithSpaces>618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2024-09-29T09:19:00Z</dcterms:created>
  <dc:creator>sitong li</dc:creator>
  <cp:lastModifiedBy>李思潼</cp:lastModifiedBy>
  <dcterms:modified xsi:type="dcterms:W3CDTF">2024-10-12T01:28:53Z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7AA7CCF558BB422582E6EE1F75DA3832</vt:lpwstr>
  </property>
</Properties>
</file>